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120"/>
        <w:rPr>
          <w:rFonts w:ascii="Times New Roman " w:hAnsi="Times New Roman "/>
          <w:color w:val="000000"/>
          <w:sz w:val="24"/>
          <w:szCs w:val="24"/>
        </w:rPr>
      </w:pPr>
      <w:r>
        <w:rPr>
          <w:rFonts w:ascii="Times New Roman " w:hAnsi="Times New Roman "/>
          <w:color w:val="000000"/>
          <w:sz w:val="24"/>
          <w:szCs w:val="24"/>
        </w:rPr>
      </w:r>
    </w:p>
    <w:p>
      <w:pPr>
        <w:pStyle w:val="1"/>
        <w:spacing w:beforeAutospacing="0" w:before="240" w:afterAutospacing="0" w:after="200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Кентерберійська розплата: як жінка на троні розколола Світове Англіканство</w:t>
      </w:r>
    </w:p>
    <w:p>
      <w:pPr>
        <w:pStyle w:val="Normal"/>
        <w:spacing w:beforeAutospacing="0" w:before="0" w:afterAutospacing="0" w:after="2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i/>
          <w:iCs/>
          <w:color w:val="000000"/>
          <w:sz w:val="24"/>
          <w:szCs w:val="24"/>
        </w:rPr>
        <w:t xml:space="preserve">Призначення </w:t>
      </w:r>
      <w:r>
        <w:rPr>
          <w:rFonts w:eastAsia="Arial" w:cs="Arial" w:ascii="Times New Roman " w:hAnsi="Times New Roman "/>
          <w:i/>
          <w:iCs/>
          <w:color w:val="000000"/>
          <w:sz w:val="24"/>
          <w:szCs w:val="24"/>
        </w:rPr>
        <w:t>дами</w:t>
      </w:r>
      <w:r>
        <w:rPr>
          <w:rFonts w:eastAsia="Arial" w:cs="Arial" w:ascii="Times New Roman " w:hAnsi="Times New Roman "/>
          <w:i/>
          <w:iCs/>
          <w:color w:val="000000"/>
          <w:sz w:val="24"/>
          <w:szCs w:val="24"/>
        </w:rPr>
        <w:t xml:space="preserve"> Сари Малаллі першою жінкою-архієпископом Кентерберійським стало каталізатором системної кризи: консервативний «Глобальний Південь» оголосив власного лідера, залишивши Кентербері без більшості своїх вірян. Що це означає для екуменічного діалогу з Україною — і що змінюється для ПЦУ та УГКЦ.</w:t>
      </w:r>
    </w:p>
    <w:p>
      <w:pPr>
        <w:pStyle w:val="Normal"/>
        <w:spacing w:beforeAutospacing="0" w:before="0" w:afterAutospacing="0" w:after="12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i/>
          <w:iCs/>
          <w:color w:val="000000"/>
          <w:sz w:val="24"/>
          <w:szCs w:val="24"/>
        </w:rPr>
        <w:t>Матеріал підготовлено на основі відкритих джерел AFP, Reuters, AP, Religion News Service, Crux Now. Стаття містить авторський аналіз та не відображає офіційну позицію жодної конфесії.</w:t>
      </w:r>
    </w:p>
    <w:p>
      <w:pPr>
        <w:pStyle w:val="2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1. Як медсестра стала символом розколу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3 жовтня 2025 року в Кентерберійському соборі пролунало оголошення, яке перевернуло 1 400-річну традицію. Церква Англії призначила своїм 106-м архієпископом Даму Сару Малаллі — першу жінку на цій посаді за всю її задокументовану історію. Те, що для ліберального крила Комунії звучало як торжество рівності, для консервативного стало «зрадою Писання».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Сара Малаллі — людина з нетиповою біографією для духовного лідера такого рангу. Народжена 1962 року в Суррі, вона спочатку здобула ім'я не в соборах, а в лікарнях. Онкологічна медсестра, керівниця відділу у Westminster Hospital, а згодом — наймолодша головна медсестра Англії (1999), відповідальна за всіх медсестер і акушерок NHS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 xml:space="preserve"> (Національна медсестринська асоціація)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. У 2005 році отримала титул Дами-командора ордену Британської імперії — за внесок у охорону здоров'я, ще до будь-якої церковної кар'єри.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 w:eastAsia="Arial" w:cs="Arial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Паралельно з урядовою службою Малаллі таємно зрозуміла своє справжнє покликання. «Вимити ноги — ось що формувало моє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 xml:space="preserve">християнське покликання, спершу,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 як медсестри, а потім як єпископа», — сказала вона після призначення. У 2001 році, не покидаючи поки що NHS, вона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стала пастором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. У 2004-му — зробила «найбільше рішення в своєму житті»: пішла з держслужби назавжди. Кар'єра в Церкві набрала обертів стрімко: єпископ Кредитонський (2015), єпископ Лондонський (2018) — третя за рангом посада в Церкві Англії. 28 січня 2026 року — офіційне вступ на посаду архієпископа.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i/>
          <w:iCs/>
          <w:color w:val="000000"/>
          <w:sz w:val="24"/>
          <w:szCs w:val="24"/>
        </w:rPr>
        <w:t>«Я роблю це у тому самому дусі служіння Богу та людям, що мотивував мене відтоді, як я вперше прийшла до віри підлітком» — Сара Малаллі, 3 жовтня 2025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Проте сама Малаллі виявилась лідером, яку одні називають «надійними руками» у складний час, а інші — «адміністратором, а не харизмат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ом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». Її призначення — не результат богословського прориву, а скоріше антикризовий крок. Її попередник Джастін Велбі у листопаді 2024 року змушений був піти у відставку після скандалу: виявилось, що він роками не передавав поліції інформацію про сексуальне насильство, яке чинив волонтер у молодіжному таборі при церкві. Малаллі закликана «зцілити рани» — але саме в цей момент прийшла і нова рана: розкол.</w:t>
      </w:r>
    </w:p>
    <w:p>
      <w:pPr>
        <w:pStyle w:val="Normal"/>
        <w:spacing w:beforeAutospacing="0" w:before="0" w:afterAutospacing="0" w:after="120"/>
        <w:rPr>
          <w:rFonts w:ascii="Times New Roman " w:hAnsi="Times New Roman "/>
          <w:color w:val="000000"/>
          <w:sz w:val="24"/>
          <w:szCs w:val="24"/>
        </w:rPr>
      </w:pPr>
      <w:r>
        <w:rPr>
          <w:rFonts w:ascii="Times New Roman " w:hAnsi="Times New Roman "/>
          <w:color w:val="000000"/>
          <w:sz w:val="24"/>
          <w:szCs w:val="24"/>
        </w:rPr>
      </w:r>
    </w:p>
    <w:p>
      <w:pPr>
        <w:pStyle w:val="2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2. Від педофільського скандалу до богословської прірви: хронологія кризи 2018–2026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Нинішній розкол не виник раптово. Він визрівав щонайменше три десятиліття, і кожна криза тільки додавала до нього паливо.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2018 — «Ламбетська прірва» загрожує обвалитись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Саме тоді скандал зі зловживаннями, який тліяв роками, вийшов на перший план. Велбі публічно вибачився перед жертвами, були призначені зовнішні перевірки. Але одночасно ширився інший фронт: в Комунії посилилися суперечки навколо благословення одностатевих пар. Консервативні єпархії Африки та Азії наполягали, що ліберальні провінції «переписують Біблію».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2021–2023 — «Living in Love and Faith» і остаточна поляризація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Церква Англії завершила масштабну дискусію «Living in Love and Faith» (Жити в любові та вірі) — процес, яким керувала саме Малаллі. Результатом стало введення «Молитов любові та вірності» для одностатевих пар. Для консервативних провінцій це перейшло «червону лінію». GAFCON (Глобальна англіканська майбутня конференція) у своєму «Зобов'язанні Кігалі» 2023 року прямо заявила: вона «більше не визнає архієпископа Кентерберійського інструментом Комунії» і «першим серед рівних».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Листопад 2024 — Велбі іде у відставку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Архієпископ Джастін Велбі пішов у відставку — не через богословські суперечки, а через приховування сексуального насильства. Це стало «найбільшим прецедентом за 1 427-річну історію» посади, за словами церковного історика Дірмайда МакКаллоха. Церква вступила у стан де-факто безлідерства, поки велась процедура призначення нового архієпископа.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3 жовтня 2025 — Малаллі оголошена наступницею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Відразу після оголошення GAFCON випустила заяву: «Кентербері поступилася своїм авторитетом лідера. Перезавантаження нашої Комунії тепер унікально в руках GAFCON». Того ж дня голова GAFCON архієпископ Руанди Лоран Мбанда оголосив, що консерватори створюють власне утворення — «Глобальну Англіканську Комунію».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28 січня 2026 — Малаллі офіційно стає архієпископом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Під час юридичної церемонії в Соборі Святого Павла у Лондоні її опонент почав кричати з зали — і був виведений. Кентербері наполіг: законних заперечень не надійшло. Малаллі принесла присягу вірності британській короні і Церкві.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3–6 березня 2026 — Абуджа: «Великий Розкол»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У нігерійській столиці зібрались 436 делегатів із 48 країн, що представляють понад 180 єпархій. GAFCON розпустила свою Раду Приматів і замість неї створила «Глобальну Англіканську Раду» — нову керівну структуру. Архієпископ Мбанда обраний її головою. Раді надано право відповідати на звернення провінцій, наглядати за ортодоксальністю вчення, координувати місіонерську діяльність. Провінції-члени нової структури не можуть брати участь у зустрічах, скликаних архієпископом Кентерберійським, а також не можуть ні отримувати фінансування від Anglian Consultative Council, ні робити до нього внески.</w:t>
      </w:r>
    </w:p>
    <w:p>
      <w:pPr>
        <w:pStyle w:val="Normal"/>
        <w:pBdr>
          <w:left w:val="single" w:sz="24" w:space="12" w:color="C9973A"/>
        </w:pBdr>
        <w:spacing w:beforeAutospacing="0" w:before="240" w:afterAutospacing="0" w:after="240"/>
        <w:ind w:left="720" w:right="720" w:hanging="0"/>
        <w:jc w:val="center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i/>
          <w:iCs/>
          <w:color w:val="000000"/>
          <w:sz w:val="24"/>
          <w:szCs w:val="24"/>
        </w:rPr>
        <w:t>«Ми не виходимо з Комунії — ми її перебудовуємо». GAFCON, Абуджа, 5 березня 2026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Водночас традиційна Комунія запропонувала власний план реформ: «Каїро-Найробські пропозиції» передбачають децентралізацію і ослаблення кентерберійського центризму, визнаючи, що більшість англікан тепер живуть у «Глобальному Півдні». Пропозиції мають бути розглянуті на Anglican Consultative Council влітку 2026 року.</w:t>
      </w:r>
    </w:p>
    <w:p>
      <w:pPr>
        <w:pStyle w:val="Normal"/>
        <w:spacing w:beforeAutospacing="0" w:before="0" w:afterAutospacing="0" w:after="120"/>
        <w:rPr>
          <w:rFonts w:ascii="Times New Roman " w:hAnsi="Times New Roman "/>
          <w:color w:val="000000"/>
          <w:sz w:val="24"/>
          <w:szCs w:val="24"/>
        </w:rPr>
      </w:pPr>
      <w:r>
        <w:rPr>
          <w:rFonts w:ascii="Times New Roman " w:hAnsi="Times New Roman "/>
          <w:color w:val="000000"/>
          <w:sz w:val="24"/>
          <w:szCs w:val="24"/>
        </w:rPr>
      </w:r>
    </w:p>
    <w:p>
      <w:pPr>
        <w:pStyle w:val="2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3. Хто розколовся і навколо чого: богословська анатомія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Сьогоднішній конфлікт зосереджений навколо трьох питань, які в консервативному прочитанні зливаються в одне: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По-перше, рукоположення жінок. GAFCON вважає, що Писання вимагає виключно чоловічого єпископату. Більшість членів GAFCON ніколи не визнавала жінок-єпископів у принципі, а призначення жінки на Кентерберійську кафедру — символ символів — для них рівносильне єресі.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По-друге, LGBTQ+-питання. Введення «Молитов любові та вірності» для одностатевих пар — крок, за яким для GAFCON стоїть ревізія біблійної антропології та еклезіології. «Ви не можете служити Богу й мамоні. Обери в цей день, кому служити» — сказав архієпископ Нігерії Ндукуба на відкритті G26.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По-третє, авторитет Писання vs. традиції. Це глибша суперечка про те, чи може Церква «переосмислювати» Біблію у світлі сучасної культури — і хто вирішує, де «дозволено» оновлення, а де «відступництво».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Структурно: GAFCON представляє Нігерію (18 млн.), Уганду, Руанду, Кенію, Єгипет (провінція Александрії), М'янму, Бразилію, Чилі, Судан, Конго та ряд груп у РЄСПКА (Реформована євангельська англіканська церква Південної Африки). Разом вони стверджують, що представляють більшість практикуючих англікан у світі — і це відповідає дійсності: Нігерія сама по собі є другою за чисельністю провінцією після Англії.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На протилежному боці — Церква Англії, Єпископальна церква США, Англіканська церква Канади, Церква Ірландії, Шотландська єпископальна церква, провінції Австралії та ін. Їх богословія є значно різноманітнішою: поряд з відвертим прогресивізмом існує і помірний євангелізм, і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католицьке крило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.</w:t>
      </w:r>
    </w:p>
    <w:p>
      <w:pPr>
        <w:pStyle w:val="Normal"/>
        <w:spacing w:beforeAutospacing="0" w:before="0" w:afterAutospacing="0" w:after="120"/>
        <w:rPr>
          <w:rFonts w:ascii="Times New Roman " w:hAnsi="Times New Roman "/>
          <w:color w:val="000000"/>
          <w:sz w:val="24"/>
          <w:szCs w:val="24"/>
        </w:rPr>
      </w:pPr>
      <w:r>
        <w:rPr>
          <w:rFonts w:ascii="Times New Roman " w:hAnsi="Times New Roman "/>
          <w:color w:val="000000"/>
          <w:sz w:val="24"/>
          <w:szCs w:val="24"/>
        </w:rPr>
      </w:r>
    </w:p>
    <w:p>
      <w:pPr>
        <w:pStyle w:val="2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4. Англіканство та українські церкви: що було до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Відносини між Англіканською Комунією та українськими церквами будувалися на кількох рівнях, і жоден із них не є простим.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Православ'я: довгий і непростий діалог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Англікансько-православний богословський діалог — один із найдавніших екуменічних форматів. Він розпочався ще в 1930-х, а офіційна Міжнародна комісія (ICAOTD) — з 1973 року. Московська угода (1976), Дублінська (1984), Кіпрська (2006) — кожна фіксувала зближення в питаннях христології, антропології, еклезіології. У 1922 році Вселенський Патріарх Мелетій IV визнав дійсність англіканських рукоположень.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Утворення ПЦУ в 2019 році і подальше виключення Р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осійської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 православної церкви з міжнародного діалогу відкрило нові можливості. Православні учасники діалогу з Англіканством тепер майже виключно від Константинопольського кола — тобто де-факто включають і ПЦУ як визнану Константинополем церкву.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У лютому 2024 року Всеукраїнська рада церков зустрілась із архієпископом Джастіном Велбі — вже вдруге (перша зустріч — грудень 2022). Обговорювали підтримку України, гуманітарну допомогу, повоєнну відбудову. Голова Ради єпископ Станіслав Носов подякував за підтримку від Церкви Англії та британського суспільства. Це — не богословський діалог, а «практичний екуменізм» воєнного часу.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УГКЦ: особлива позиція «між Сходом і Заходом»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Українська Греко-Католицька Церква — випадок унікальний. Вона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практикує С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хідний обряд, перебуваючи в 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сопричасті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з Римом. Для неї питання рукоположення жінок є закритим (слідуючи католицькій дисципліні), а питання LGBTQ+ — однозначно консервативним. За богословськими позиціями УГКЦ набагато ближча до GAFCON, ніж до ліберального Кентербері.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Водночас УГКЦ — не протестантська церква і не шукає «союзів» усередині англіканства. Її екуменічна концепція, ухвалена 2021 року, орієнтована насамперед на православно-католицький діалог і утвердження «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К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иївського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християнства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». Поява двох англіканських центрів — Кентербері і Абуджи — є для УГКЦ радше предметом обережного спостереження, ніж прямого вибору.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Практично: Церква Англії та англіканські агентства допомоги (USPG, Diocese in Europe, Anglican Alliance, Episcopal Relief &amp; Development) надали значну гуманітарну допомогу Україні після лютого 2022 року — понад 400 000 фунтів стерлінгів тільки через спільний фонд з USPG, підтримку 70 000 переселенців у Європі, допомогу в Польщі, Румунії, Угорщині, Словаччині. Цей «практичний екуменізм» зближував, навіть коли не було богословської близькості.</w:t>
      </w:r>
    </w:p>
    <w:p>
      <w:pPr>
        <w:pStyle w:val="2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5. Що змінює розкол: двоцентровість і новий простір для діалогу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Поява двох конкуруючих центрів англіканства — Кентербері (ліберально-прогресивне крило) та Абуджа/GAFCON (консервативно-глобальнопівденне крило) — відкриває принципово нову конфігурацію для екуменічних відносин України.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Для ПЦУ: між Константинополем і «Півдним вектором»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ПЦУ як молода церква, що тільки будує своє місце в міжнародному екуменічному полі, опиняється перед непростим вибором. Офіційний англікансько-православний діалог веде Кентербері разом із Константинополем. Кентербері залишається формальним партнером для православного екуменізму — і тому ПЦУ навряд чи буде зацікавлена в роботі з GAFCON напряму без сигналу від Фанару.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Водночас GAFCON за своєю богословською позицією (авторитет Писання, традиційна еклезіологія, відкидання LGBTQ+ «ревізіонізму») набагато ближчий до православ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'я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. Парадокс: Кентербері є формальним партнером православ'я, але GAFCON — ближчий партнер за духом.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Якщо «Глобальна Англіканська Комунія» на чолі з Абуджею почне розбудовувати власну екуменічну мережу — не через Женеву (ВРЦ) і не через Рим, а через прямі двосторонні контакти — для ПЦУ відкривається нестандартне вікно можливостей: неформальне партнерство з глобальним консервативним протестантизмом. Особливо в контексті війни, де GAFCON представляє церкви Африки й Азії, які активно обговорюють позицію щодо Росії та «руського миру».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Для УГКЦ: консервативний полюс ближчий — але чи важлива ця близькість?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УГКЦ за природою своєї еклезіології та богослов'я близька до консервативних позицій GAFCON. Але УГКЦ — католицька церква, і її екуменічний діалог відбувається через Рим і структури «Змішаної католицько-православної комісії» (Равенська декларація). Протестантський, хоч і консервативний, GAFCON залишається надто далеким партнером для УГКЦ у формальному сенсі.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Практично важливіше: якщо розкол в Англіканській Комунії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 xml:space="preserve">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послабить прогресивний Кентербері — це опосередковано впливає на Всесвітню Раду Церков (ВРЦ), де Церква Англії відіграє впливову роль. ВРЦ тривалий час балансувала між «справедливим миром» і реальною підтримкою України, що викликало критику з боку УГКЦ та ПЦУ. Ослаблення позиції Кентербері у глобальному екуменізмі може змінити внутрішній баланс ВРЦ — гіпотетично на користь церков, більш чутливих до конкретних проявів агресії.</w:t>
      </w:r>
    </w:p>
    <w:p>
      <w:pPr>
        <w:pStyle w:val="3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Гуманітарне служіння: чи залежить воно від вектора Кентербері?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Англіканська гуманітарна допомога Україні йшла переважно через Церкву Англії, USPG та Єпархію в Європі — тобто через «прогресивний» полюс. Провінції GAFCON (Нігерія, Уганда, Руанда) не мали і не мають значного гуманітарного потенціалу у відповідь на українську кризу. Тому в короткостроковій перспективі розкол не змінює нічого у практичній допомозі: Кентербері залишається основним канал.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Але в довгостроковій — якщо ресурси Церкви Англії перераховуватимуться між двома структурами або якщо скандали зі зловживаннями підривають довіру і пожертви — це може вплинути на обсяги допомоги. Поки що цього не сталося.</w:t>
      </w:r>
    </w:p>
    <w:p>
      <w:pPr>
        <w:pStyle w:val="Normal"/>
        <w:spacing w:beforeAutospacing="0" w:before="0" w:afterAutospacing="0" w:after="120"/>
        <w:rPr>
          <w:rFonts w:ascii="Times New Roman " w:hAnsi="Times New Roman "/>
          <w:color w:val="000000"/>
          <w:sz w:val="24"/>
          <w:szCs w:val="24"/>
        </w:rPr>
      </w:pPr>
      <w:r>
        <w:rPr>
          <w:rFonts w:ascii="Times New Roman " w:hAnsi="Times New Roman "/>
          <w:color w:val="000000"/>
          <w:sz w:val="24"/>
          <w:szCs w:val="24"/>
        </w:rPr>
      </w:r>
    </w:p>
    <w:p>
      <w:pPr>
        <w:pStyle w:val="2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6. Велика гра: чи є тут місце Україні?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Англіканський розкол відбувається в контексті більш широкої реконфігурації глобального Христ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и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янства. «Глобальний Південь» — Африка, частина Азії та Латинської Америки — дедалі впевненіше заявляє про своє право формулювати порядок денний. Консервативн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е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 богослов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'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я, як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е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 там домінує, збігається з тим, що ми в Україні звикли вважати «традиційним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х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рист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и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янством».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Для України, де Церква відіграє роль морального та національного стрижня в умовах війни, важливо розуміти: глобальне «консервативне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х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рист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>и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янство» не монолітне. GAFCON не є «Тілом підтримки» для ПЦУ чи УГКЦ — у нього свої пріоритети. Але воно є потенційним майданчиком для нових контактів, які не проходять через Женеву і Кентербері.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 w:eastAsia="Arial" w:cs="Arial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Більш практично: поки Кентербері послаблюється, а «Глобальна Англіканська Рада» ще не зміцніла — настав момент, коли УГКЦ і ПЦУ можуть не обирати між ними, а спостерігати і обережно розбудовувати власні мережі в обох напрямках. «Двоцентровість» англіканства — не проблема для України, а потенційна перевага: є кому говорити з прогресивним Заходом, і є кому говорити з консервативним Глобальним Півднем.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i/>
          <w:iCs/>
          <w:color w:val="000000"/>
          <w:sz w:val="24"/>
          <w:szCs w:val="24"/>
        </w:rPr>
        <w:t>Розкол Кентербері — це не кінець Англіканської Комунії, а початок її нового географічного та богословського перерозподілу. І Україна в цьому перерозподілі вже не периферія.</w:t>
      </w:r>
    </w:p>
    <w:p>
      <w:pPr>
        <w:pStyle w:val="Normal"/>
        <w:spacing w:beforeAutospacing="0" w:before="0" w:afterAutospacing="0" w:after="120"/>
        <w:rPr>
          <w:rFonts w:ascii="Times New Roman " w:hAnsi="Times New Roman "/>
          <w:color w:val="000000"/>
          <w:sz w:val="24"/>
          <w:szCs w:val="24"/>
        </w:rPr>
      </w:pPr>
      <w:r>
        <w:rPr>
          <w:rFonts w:ascii="Times New Roman " w:hAnsi="Times New Roman "/>
          <w:color w:val="000000"/>
          <w:sz w:val="24"/>
          <w:szCs w:val="24"/>
        </w:rPr>
      </w:r>
    </w:p>
    <w:p>
      <w:pPr>
        <w:pStyle w:val="2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/>
          <w:bCs/>
          <w:color w:val="000000"/>
          <w:sz w:val="24"/>
          <w:szCs w:val="24"/>
        </w:rPr>
        <w:t>Замість висновку: три питання на завтра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Перше: чи виживе Англіканська Комунія як єдина структура після Абуджі? Формально — поки що так. Фактично — вона вже двополюсна. Ключовою датою стане літо 2026 року, коли Anglican Consultative Council розгляне «Каїро-Найробські пропозиції» про децентралізацію. Якщо вони будуть прийняті, Кентербері перетвориться на «першого серед рівних» у значно більш буквальному сенсі.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Друге: чи стане Лоран Мбанда реальним «антиархієпископом»? Поки що офіційно GAFCON каже: «голова Ради — не перший серед рівних» (перший — Ісус Христос). Але символічно його роль саме така. Уся логіка G26 веде до паралельного першоієрарха. Це небачено за 400 років.</w:t>
      </w:r>
    </w:p>
    <w:p>
      <w:pPr>
        <w:pStyle w:val="Normal"/>
        <w:spacing w:beforeAutospacing="0" w:before="0" w:afterAutospacing="0" w:after="180"/>
        <w:jc w:val="both"/>
        <w:rPr>
          <w:rFonts w:ascii="Times New Roman " w:hAnsi="Times New Roman "/>
          <w:i/>
          <w:i/>
          <w:iCs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 xml:space="preserve">Третє: що це означає для православно-англіканського діалогу? Якщо GAFCON відмовиться від участі в ICAOTD (Міжнародній комісії для англікансько-православного богословського діалогу), діалог де-факто стане діалогом лише з прогресивним крилом — крилом, з яким православ'я має найбільше богословських труднощів. Для ПЦУ і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  <w:lang w:val="uk-UA" w:eastAsia="uk-UA" w:bidi="uk-UA"/>
        </w:rPr>
        <w:t xml:space="preserve"> УГКЦ </w:t>
      </w:r>
      <w:r>
        <w:rPr>
          <w:rFonts w:eastAsia="Arial" w:cs="Arial" w:ascii="Times New Roman " w:hAnsi="Times New Roman "/>
          <w:b w:val="false"/>
          <w:bCs w:val="false"/>
          <w:color w:val="000000"/>
          <w:sz w:val="24"/>
          <w:szCs w:val="24"/>
        </w:rPr>
        <w:t>це питання не абстрактне.</w:t>
      </w:r>
    </w:p>
    <w:p>
      <w:pPr>
        <w:pStyle w:val="Normal"/>
        <w:spacing w:beforeAutospacing="0" w:before="0" w:afterAutospacing="0" w:after="200"/>
        <w:rPr>
          <w:rFonts w:ascii="Times New Roman " w:hAnsi="Times New Roman "/>
          <w:color w:val="000000"/>
          <w:sz w:val="24"/>
          <w:szCs w:val="24"/>
        </w:rPr>
      </w:pPr>
      <w:r>
        <w:rPr>
          <w:rFonts w:eastAsia="Arial" w:cs="Arial" w:ascii="Times New Roman " w:hAnsi="Times New Roman "/>
          <w:i/>
          <w:iCs/>
          <w:color w:val="000000"/>
          <w:sz w:val="24"/>
          <w:szCs w:val="24"/>
          <w:lang w:val="uk-UA" w:eastAsia="uk-UA" w:bidi="uk-UA"/>
        </w:rPr>
        <w:t>Назарій Петрів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1A1A1A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Arial" w:cs="Arial"/>
      <w:color w:val="1A1A1A"/>
      <w:kern w:val="0"/>
      <w:sz w:val="24"/>
      <w:szCs w:val="24"/>
      <w:lang w:val="uk-UA" w:eastAsia="zh-CN" w:bidi="hi-IN"/>
    </w:rPr>
  </w:style>
  <w:style w:type="paragraph" w:styleId="1">
    <w:name w:val="Heading 1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480" w:afterAutospacing="0" w:after="240"/>
      <w:ind w:left="0" w:right="0" w:hanging="0"/>
      <w:jc w:val="left"/>
      <w:outlineLvl w:val="0"/>
    </w:pPr>
    <w:rPr>
      <w:rFonts w:ascii="Arial" w:hAnsi="Arial" w:eastAsia="Arial" w:cs="Arial"/>
      <w:b/>
      <w:bCs/>
      <w:color w:val="5C1A3B"/>
      <w:kern w:val="0"/>
      <w:sz w:val="40"/>
      <w:szCs w:val="40"/>
      <w:lang w:val="uk-UA" w:eastAsia="zh-CN" w:bidi="hi-IN"/>
    </w:rPr>
  </w:style>
  <w:style w:type="paragraph" w:styleId="2">
    <w:name w:val="Heading 2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360" w:afterAutospacing="0" w:after="160"/>
      <w:ind w:left="0" w:right="0" w:hanging="0"/>
      <w:jc w:val="left"/>
      <w:outlineLvl w:val="1"/>
    </w:pPr>
    <w:rPr>
      <w:rFonts w:ascii="Arial" w:hAnsi="Arial" w:eastAsia="Arial" w:cs="Arial"/>
      <w:b/>
      <w:bCs/>
      <w:color w:val="5C1A3B"/>
      <w:kern w:val="0"/>
      <w:sz w:val="30"/>
      <w:szCs w:val="30"/>
      <w:lang w:val="uk-UA" w:eastAsia="zh-CN" w:bidi="hi-IN"/>
    </w:rPr>
  </w:style>
  <w:style w:type="paragraph" w:styleId="3">
    <w:name w:val="Heading 3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240" w:afterAutospacing="0" w:after="120"/>
      <w:ind w:left="0" w:right="0" w:hanging="0"/>
      <w:jc w:val="left"/>
      <w:outlineLvl w:val="2"/>
    </w:pPr>
    <w:rPr>
      <w:rFonts w:ascii="Arial" w:hAnsi="Arial" w:eastAsia="Arial" w:cs="Arial"/>
      <w:b/>
      <w:bCs/>
      <w:color w:val="C9973A"/>
      <w:kern w:val="0"/>
      <w:sz w:val="26"/>
      <w:szCs w:val="26"/>
      <w:lang w:val="uk-UA" w:eastAsia="zh-CN" w:bidi="hi-IN"/>
    </w:rPr>
  </w:style>
  <w:style w:type="paragraph" w:styleId="4">
    <w:name w:val="Heading 4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  <w:outlineLvl w:val="3"/>
    </w:pPr>
    <w:rPr>
      <w:rFonts w:ascii="Arial" w:hAnsi="Arial" w:eastAsia="Arial" w:cs="Arial"/>
      <w:i/>
      <w:iCs/>
      <w:color w:val="2E74B5"/>
      <w:kern w:val="0"/>
      <w:sz w:val="24"/>
      <w:szCs w:val="24"/>
      <w:lang w:val="uk-UA" w:eastAsia="zh-CN" w:bidi="hi-IN"/>
    </w:rPr>
  </w:style>
  <w:style w:type="paragraph" w:styleId="5">
    <w:name w:val="Heading 5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  <w:outlineLvl w:val="4"/>
    </w:pPr>
    <w:rPr>
      <w:rFonts w:ascii="Arial" w:hAnsi="Arial" w:eastAsia="Arial" w:cs="Arial"/>
      <w:color w:val="2E74B5"/>
      <w:kern w:val="0"/>
      <w:sz w:val="24"/>
      <w:szCs w:val="24"/>
      <w:lang w:val="uk-UA" w:eastAsia="zh-CN" w:bidi="hi-IN"/>
    </w:rPr>
  </w:style>
  <w:style w:type="paragraph" w:styleId="6">
    <w:name w:val="Heading 6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  <w:outlineLvl w:val="5"/>
    </w:pPr>
    <w:rPr>
      <w:rFonts w:ascii="Arial" w:hAnsi="Arial" w:eastAsia="Arial" w:cs="Arial"/>
      <w:color w:val="1F4D78"/>
      <w:kern w:val="0"/>
      <w:sz w:val="24"/>
      <w:szCs w:val="24"/>
      <w:lang w:val="uk-UA" w:eastAsia="zh-CN" w:bidi="hi-IN"/>
    </w:rPr>
  </w:style>
  <w:style w:type="character" w:styleId="DefaultParagraphFont" w:default="1">
    <w:name w:val="Default Paragraph Font"/>
    <w:semiHidden/>
    <w:qFormat/>
    <w:rPr/>
  </w:style>
  <w:style w:type="character" w:styleId="Style8">
    <w:name w:val="Line Number"/>
    <w:basedOn w:val="DefaultParagraphFont"/>
    <w:semiHidden/>
    <w:rPr/>
  </w:style>
  <w:style w:type="character" w:styleId="Style9">
    <w:name w:val="Hyperlink"/>
    <w:rPr>
      <w:color w:val="0563C1"/>
      <w:u w:val="single"/>
    </w:rPr>
  </w:style>
  <w:style w:type="character" w:styleId="Style10">
    <w:name w:val="Footnote Reference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FootnoteTextChar">
    <w:name w:val="Footnote Text Char"/>
    <w:semiHidden/>
    <w:qFormat/>
    <w:rPr>
      <w:sz w:val="20"/>
      <w:szCs w:val="20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Style12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5">
    <w:name w:val="Title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Arial" w:cs="Arial"/>
      <w:color w:val="1A1A1A"/>
      <w:kern w:val="0"/>
      <w:sz w:val="56"/>
      <w:szCs w:val="56"/>
      <w:lang w:val="uk-UA" w:eastAsia="zh-CN" w:bidi="hi-IN"/>
    </w:rPr>
  </w:style>
  <w:style w:type="paragraph" w:styleId="Strong1">
    <w:name w:val="Strong1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Arial" w:cs="Arial"/>
      <w:b/>
      <w:bCs/>
      <w:color w:val="1A1A1A"/>
      <w:kern w:val="0"/>
      <w:sz w:val="24"/>
      <w:szCs w:val="24"/>
      <w:lang w:val="uk-UA" w:eastAsia="zh-CN" w:bidi="hi-IN"/>
    </w:rPr>
  </w:style>
  <w:style w:type="paragraph" w:styleId="ListParagraph">
    <w:name w:val="List Paragraph"/>
    <w:qFormat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Arial" w:cs="Arial"/>
      <w:color w:val="1A1A1A"/>
      <w:kern w:val="0"/>
      <w:sz w:val="24"/>
      <w:szCs w:val="24"/>
      <w:lang w:val="uk-UA" w:eastAsia="zh-CN" w:bidi="hi-IN"/>
    </w:rPr>
  </w:style>
  <w:style w:type="paragraph" w:styleId="Style16">
    <w:name w:val="Footnote Text"/>
    <w:link w:val="FootnoteTextChar"/>
    <w:semiHidden/>
    <w:pPr>
      <w:keepNext w:val="false"/>
      <w:keepLines w:val="false"/>
      <w:pageBreakBefore w:val="false"/>
      <w:widowControl/>
      <w:shd w:val="clear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Arial" w:cs="Arial"/>
      <w:color w:val="1A1A1A"/>
      <w:kern w:val="0"/>
      <w:sz w:val="20"/>
      <w:szCs w:val="20"/>
      <w:lang w:val="uk-UA" w:eastAsia="zh-CN" w:bidi="hi-IN"/>
    </w:rPr>
  </w:style>
  <w:style w:type="table" w:default="1" w:styleId="T0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color="000000" w:sz="4" w:space="0" w:themeTint="0"/>
        <w:left w:val="single" w:color="000000" w:sz="4" w:space="0" w:themeTint="0"/>
        <w:bottom w:val="single" w:color="000000" w:sz="4" w:space="0" w:themeTint="0"/>
        <w:right w:val="single" w:color="000000" w:sz="4" w:space="0" w:themeTint="0"/>
        <w:insideH w:val="single" w:color="000000" w:sz="4" w:space="0" w:themeTint="0"/>
        <w:insideV w:val="single" w:color="000000" w:sz="4" w:space="0" w:themeTint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Edit_Docx_PLUS/7.4.0.3$Windows_X86_64 LibreOffice_project/</Application>
  <AppVersion>15.0000</AppVersion>
  <Pages>6</Pages>
  <Words>2013</Words>
  <Characters>13277</Characters>
  <CharactersWithSpaces>15296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2026-03-06T06:57:07Z</dcterms:created>
  <dc:creator>Un-named</dc:creator>
  <dc:description/>
  <dc:language>uk-UA</dc:language>
  <cp:lastModifiedBy/>
  <dcterms:modified xsi:type="dcterms:W3CDTF">2026-05-20T10:38:16Z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