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
        <w:bidi w:val="0"/>
        <w:spacing w:before="0" w:after="320"/>
        <w:jc w:val="both"/>
        <w:rPr/>
      </w:pPr>
      <w:r>
        <w:rPr>
          <w:rFonts w:eastAsia="Times New Roman" w:cs="Times New Roman" w:ascii="Times New Roman" w:hAnsi="Times New Roman"/>
          <w:b/>
          <w:bCs/>
          <w:sz w:val="32"/>
          <w:szCs w:val="32"/>
        </w:rPr>
        <w:t>Т</w:t>
      </w:r>
      <w:r>
        <w:rPr/>
        <w:t>аємниця знайомих молитов, або що говорить Церква про Марію і  місяць травень</w:t>
      </w:r>
    </w:p>
    <w:p>
      <w:pPr>
        <w:pStyle w:val="1"/>
        <w:bidi w:val="0"/>
        <w:spacing w:before="0" w:after="320"/>
        <w:jc w:val="both"/>
        <w:rPr>
          <w:b w:val="false"/>
          <w:b w:val="false"/>
          <w:bCs w:val="false"/>
          <w:sz w:val="24"/>
          <w:szCs w:val="24"/>
        </w:rPr>
      </w:pPr>
      <w:r>
        <w:rPr>
          <w:b w:val="false"/>
          <w:bCs w:val="false"/>
          <w:sz w:val="24"/>
          <w:szCs w:val="24"/>
        </w:rPr>
        <w:t>Назарій Петрів</w:t>
      </w:r>
    </w:p>
    <w:p>
      <w:pPr>
        <w:pStyle w:val="Normal"/>
        <w:spacing w:lineRule="exact" w:line="276" w:before="0" w:after="160"/>
        <w:jc w:val="both"/>
        <w:rPr/>
      </w:pPr>
      <w:r>
        <w:rPr>
          <w:rFonts w:eastAsia="Times New Roman" w:cs="Times New Roman"/>
        </w:rPr>
        <w:t>На написання цього тексту мене надихнула новина, що промайнула у моїй Фейсбук-стрічці зранку. Англомовний допис, у якому авторка ділилась із підписниками відкриттям фрагментів найдавнішої богородичної молитви, датованої серединою III ст. — 250–251 роком після Христа. Ішлося про грецький текст молитви «Під твій захист прибігаємо». На Заході вона стала відомою і поширилась у латинському перекладі. В Україні існує у двох варіантах: Латинська Церква використовує текст «Під твій захист прибігаємо», тоді як Східні Церкви — православні та греко-католицька — застосовують дещо коротший варіант «Під твою милість». Обидва, попри різницю у словах, говорять про одне: заступницьку роль Богородиці, Її дівство та материнство водночас.</w:t>
      </w:r>
    </w:p>
    <w:p>
      <w:pPr>
        <w:pStyle w:val="Normal"/>
        <w:spacing w:lineRule="exact" w:line="276" w:before="0" w:after="160"/>
        <w:jc w:val="both"/>
        <w:rPr/>
      </w:pPr>
      <w:r>
        <w:rPr>
          <w:rFonts w:eastAsia="Times New Roman" w:cs="Times New Roman"/>
        </w:rPr>
        <w:tab/>
        <w:t>Ці короткі молитви знайомі нам із дитинства. Але чи замислювались ми коли-небудь над їхнім богословським, культурним та історичним змістом? Сьогодні, а особливо під час травневих паралітургійних богослужінь, присвячених почитанню Богородиці, жодне з них не обходиться без цих двох молитов, у яких стисло викладена вся суть маріології — вчення Церкви про Пречисту Діву Марію. Спробуємо коротко і зрозумілою мовою представити її нашим читачам і розібратися чому ж саме травень став місяцем  собливого вшанування Марії в Церкві.</w:t>
      </w:r>
    </w:p>
    <w:p>
      <w:pPr>
        <w:pStyle w:val="2"/>
        <w:bidi w:val="0"/>
        <w:jc w:val="both"/>
        <w:rPr/>
      </w:pPr>
      <w:r>
        <w:rPr/>
        <w:t>Рання Церква і перші свідчення про Марію</w:t>
      </w:r>
    </w:p>
    <w:p>
      <w:pPr>
        <w:pStyle w:val="Normal"/>
        <w:spacing w:lineRule="exact" w:line="276" w:before="0" w:after="160"/>
        <w:jc w:val="both"/>
        <w:rPr/>
      </w:pPr>
      <w:r>
        <w:rPr>
          <w:rFonts w:eastAsia="Times New Roman" w:cs="Times New Roman"/>
        </w:rPr>
        <w:tab/>
        <w:t>Грецький папірус із молитвою «Під твою милість», знайдений у Єгипті та нині зберігається у бібліотеці Манчестерського університету (Rylands Papyrus 470), є найдавнішим відомим нам прямим зверненням до Марії. Він написаний ще до того, як Церква офіційно сформулювала маріологічні догмати — це голос віруючих, які вже тоді шукали захисту у Тієї, яку називали Theotokos — Богородиця.</w:t>
      </w:r>
    </w:p>
    <w:p>
      <w:pPr>
        <w:pStyle w:val="Normal"/>
        <w:spacing w:lineRule="exact" w:line="276" w:before="0" w:after="160"/>
        <w:jc w:val="both"/>
        <w:rPr/>
      </w:pPr>
      <w:r>
        <w:rPr>
          <w:rFonts w:eastAsia="Times New Roman" w:cs="Times New Roman"/>
        </w:rPr>
        <w:tab/>
        <w:t>Загалом почитання Марії зародилося у перших христянських громадах дуже органічно — через вшанування Її Сина. Ще святий Ігнатій Антіохійський (бл. 110 р.) — перший з отців Церкви, хто писав про Марію, — згадував Її як невіддільну від таємниці Боговтілення. Вже у середині II ст. в римських катакомбах Прісцілли з'явились перші зображення Марії з Немовлям та сцена Благовіщення — найдавніші відомі марійні образи у сакральному мистецтві. Церква молилась, малювала і роздумувала про Марію задовго до того, як збирала собори.</w:t>
      </w:r>
    </w:p>
    <w:p>
      <w:pPr>
        <w:pStyle w:val="Normal"/>
        <w:spacing w:lineRule="exact" w:line="276" w:before="0" w:after="160"/>
        <w:jc w:val="both"/>
        <w:rPr/>
      </w:pPr>
      <w:r>
        <w:rPr>
          <w:rFonts w:eastAsia="Times New Roman" w:cs="Times New Roman"/>
        </w:rPr>
        <w:tab/>
        <w:t>Богослови II–III ст. — Юстин Мученик і Іриней Ліонський —  у своїх богословських поглядах розглядали Марію як нову Єву. Якщо стара Єва непослухом принесла у світ гріх, то Марія своїм «так» — fiat — відкрила двері Боговтіленню і Спасінню. Ця богословська паралель стала одним із основних стовпів маріології.</w:t>
      </w:r>
    </w:p>
    <w:p>
      <w:pPr>
        <w:pStyle w:val="2"/>
        <w:bidi w:val="0"/>
        <w:jc w:val="both"/>
        <w:rPr/>
      </w:pPr>
      <w:r>
        <w:rPr/>
        <w:t>Богородиця: що вирішив Ефеський собор</w:t>
      </w:r>
    </w:p>
    <w:p>
      <w:pPr>
        <w:pStyle w:val="Normal"/>
        <w:spacing w:lineRule="exact" w:line="276" w:before="0" w:after="160"/>
        <w:jc w:val="both"/>
        <w:rPr/>
      </w:pPr>
      <w:r>
        <w:rPr>
          <w:rFonts w:eastAsia="Times New Roman" w:cs="Times New Roman"/>
        </w:rPr>
        <w:tab/>
        <w:t>Ключовим моментом в офіційному богословському оформленні почитання Марії став Ефеський собор 431 року. Константинопольський єпископ Несторій стверджував, що Марія народила лише людину Ісуса, тому її слід називати</w:t>
      </w:r>
      <w:r>
        <w:rPr>
          <w:rFonts w:eastAsia="Times New Roman" w:cs="Times New Roman"/>
          <w:lang w:val="en-US"/>
        </w:rPr>
        <w:t xml:space="preserve"> Christotokos  </w:t>
      </w:r>
      <w:r>
        <w:rPr>
          <w:rFonts w:eastAsia="Times New Roman" w:cs="Times New Roman"/>
        </w:rPr>
        <w:t>(Христородиця), але не</w:t>
      </w:r>
      <w:r>
        <w:rPr>
          <w:rFonts w:eastAsia="Times New Roman" w:cs="Times New Roman"/>
          <w:lang w:val="en-US"/>
        </w:rPr>
        <w:t xml:space="preserve">  Theotokos </w:t>
      </w:r>
      <w:r>
        <w:rPr>
          <w:rFonts w:eastAsia="Times New Roman" w:cs="Times New Roman"/>
        </w:rPr>
        <w:t>(Богородиця). Собор відхилив цю позицію: якщо Марія не Богородиця — значить, Бог не став справжньою людиною, а отже, і справжнього Спасіння немає. Проголошення Марії Theotokos було перш за все захистом догмату про Боговтілення.</w:t>
      </w:r>
    </w:p>
    <w:p>
      <w:pPr>
        <w:pStyle w:val="Normal"/>
        <w:spacing w:lineRule="exact" w:line="276" w:before="0" w:after="160"/>
        <w:jc w:val="both"/>
        <w:rPr/>
      </w:pPr>
      <w:r>
        <w:rPr>
          <w:rFonts w:eastAsia="Times New Roman" w:cs="Times New Roman"/>
        </w:rPr>
        <w:t>Після Ефесу почитання Марії стрімко поширилось. Перші храми, присвячені Їй, збудували невдовзі після 431 року: у Римі виникли Santa Maria Maggiore, Santa Maria Antiqua, Santa Maria in Trastevere. А в мистецтві встановився тип Богородиці на троні — величної Цариці, що тримає Немовля-Царя: образ, який і досі дивиться на нас зі стін давніх базилік і золотих іконостасів.</w:t>
      </w:r>
    </w:p>
    <w:p>
      <w:pPr>
        <w:pStyle w:val="Normal"/>
        <w:spacing w:lineRule="exact" w:line="276" w:before="0" w:after="160"/>
        <w:jc w:val="both"/>
        <w:rPr/>
      </w:pPr>
      <w:r>
        <w:rPr>
          <w:rFonts w:eastAsia="Times New Roman" w:cs="Times New Roman"/>
        </w:rPr>
        <w:tab/>
        <w:t>Що ж до Богородичних свят, то вони формувались поступово. Найдавнішими є Благовіщення (встановлено у IV ст.) та Собор Пресвятої Богородиці — свято, яке виникло в Східній Церкві одразу після Різдва Христового: якщо ми святкуємо Боговтілення, то мусимо вшанувати і Ту, через яку воно стало можливим. Успіння — завершення земного шляху Марії — закріпилось у кінці VI ст., а Різдво Богородиці та Введення у храм — у VI–VIII ст. Сьогодні Католицька Церква має кілька богородичних урочистостей найвищого рангу, а православні та греко-католицька Церква зберігають чотири дванадесяті богородичні свята. Для українського церковного серця окреме місце займає Покрова Пресвятої Богородиці (1 жовтня) — свято, яке на наших землях набуло особливого національного виміру.</w:t>
      </w:r>
    </w:p>
    <w:p>
      <w:pPr>
        <w:pStyle w:val="2"/>
        <w:bidi w:val="0"/>
        <w:jc w:val="both"/>
        <w:rPr/>
      </w:pPr>
      <w:r>
        <w:rPr/>
        <w:t>Почитання — не поклоніння: важлива різниця</w:t>
      </w:r>
    </w:p>
    <w:p>
      <w:pPr>
        <w:pStyle w:val="Normal"/>
        <w:spacing w:lineRule="exact" w:line="276" w:before="0" w:after="160"/>
        <w:jc w:val="both"/>
        <w:rPr/>
      </w:pPr>
      <w:r>
        <w:rPr>
          <w:rFonts w:eastAsia="Times New Roman" w:cs="Times New Roman"/>
        </w:rPr>
        <w:tab/>
        <w:t xml:space="preserve">Саме тут варто зупинитись, бо ця тема часто стає причиною непорозуміння між христянами різних традицій. Церква від початку чітко розрізняла </w:t>
      </w:r>
      <w:r>
        <w:rPr>
          <w:rFonts w:eastAsia="Times New Roman" w:cs="Times New Roman"/>
          <w:lang w:val="en-US"/>
        </w:rPr>
        <w:t>т</w:t>
      </w:r>
      <w:r>
        <w:rPr>
          <w:rFonts w:eastAsia="Times New Roman" w:cs="Times New Roman"/>
        </w:rPr>
        <w:t xml:space="preserve">ри поняття.  </w:t>
      </w:r>
      <w:r>
        <w:rPr>
          <w:rFonts w:eastAsia="Times New Roman" w:cs="Times New Roman"/>
          <w:b/>
          <w:bCs/>
          <w:i/>
          <w:iCs/>
        </w:rPr>
        <w:t>Latria</w:t>
      </w:r>
      <w:r>
        <w:rPr>
          <w:rFonts w:eastAsia="Times New Roman" w:cs="Times New Roman"/>
        </w:rPr>
        <w:t xml:space="preserve"> — поклоніння, яке належить виключно Богові; саме таку молитву ми здіймаємо до Святої Трійці. </w:t>
      </w:r>
      <w:r>
        <w:rPr>
          <w:rFonts w:eastAsia="Times New Roman" w:cs="Times New Roman"/>
          <w:b/>
          <w:bCs/>
          <w:i/>
          <w:iCs/>
        </w:rPr>
        <w:t>Dulia</w:t>
      </w:r>
      <w:r>
        <w:rPr>
          <w:rFonts w:eastAsia="Times New Roman" w:cs="Times New Roman"/>
        </w:rPr>
        <w:t xml:space="preserve"> — шанування, яке віруючі можуть виявляти до святих. Марія ж займає особливе місце навіть серед святих, тому Її шанування має власний термін: </w:t>
      </w:r>
      <w:r>
        <w:rPr>
          <w:rFonts w:eastAsia="Times New Roman" w:cs="Times New Roman"/>
          <w:b/>
          <w:bCs/>
          <w:i/>
          <w:iCs/>
        </w:rPr>
        <w:t>hyperdulia</w:t>
      </w:r>
      <w:r>
        <w:rPr>
          <w:rFonts w:eastAsia="Times New Roman" w:cs="Times New Roman"/>
        </w:rPr>
        <w:t xml:space="preserve"> — «вище шанування», яке, однак, залишається нескінченно далеким від поклоніння Богові.</w:t>
      </w:r>
    </w:p>
    <w:p>
      <w:pPr>
        <w:pStyle w:val="Normal"/>
        <w:spacing w:lineRule="exact" w:line="276" w:before="0" w:after="160"/>
        <w:jc w:val="both"/>
        <w:rPr/>
      </w:pPr>
      <w:r>
        <w:rPr>
          <w:rFonts w:eastAsia="Times New Roman" w:cs="Times New Roman"/>
        </w:rPr>
        <w:tab/>
        <w:t xml:space="preserve">Святий Тома Аквінський у XIII ст. богословськи систематизував цю різницю. Другий Ватиканський собор підтвердив її у конституції </w:t>
      </w:r>
      <w:r>
        <w:rPr>
          <w:rFonts w:eastAsia="Times New Roman" w:cs="Times New Roman"/>
          <w:b/>
          <w:bCs/>
          <w:i/>
          <w:iCs/>
        </w:rPr>
        <w:t>Lumen gentium</w:t>
      </w:r>
      <w:r>
        <w:rPr>
          <w:rFonts w:eastAsia="Times New Roman" w:cs="Times New Roman"/>
        </w:rPr>
        <w:t>: «Церква справедливо виявляє Марії особливий культ. Вже від найдавніших часів Пречиста Діва шанується як Богородиця і вірні вдаються під Її охорону у всіх небезпеках. Цей культ, хоч і цілком особливий, суттєво відрізняється від поклоніння, яке виявляється Втіленому Слову» (LG 66). Богородиця — не Бог. Але Вона — найдосконаліший образ обоженої людини, яка повністю відповіла на Боже покликання.</w:t>
      </w:r>
    </w:p>
    <w:p>
      <w:pPr>
        <w:pStyle w:val="2"/>
        <w:bidi w:val="0"/>
        <w:jc w:val="both"/>
        <w:rPr/>
      </w:pPr>
      <w:r>
        <w:rPr/>
        <w:t>Травень і Марія: від язичницьких богів до єзуїтів і пап</w:t>
      </w:r>
    </w:p>
    <w:p>
      <w:pPr>
        <w:pStyle w:val="Normal"/>
        <w:spacing w:lineRule="exact" w:line="276" w:before="0" w:after="160"/>
        <w:jc w:val="both"/>
        <w:rPr/>
      </w:pPr>
      <w:r>
        <w:rPr>
          <w:rFonts w:eastAsia="Times New Roman" w:cs="Times New Roman"/>
        </w:rPr>
        <w:tab/>
        <w:t xml:space="preserve">Цікаво, що травень — місяць Марії — не завжди був присвячений Богородиці. У давній Греції  у травні вшановували Афродіту та Диметру — богинь любові та родючості.  А в стародавньому Ефесі  богиня Артеміда вшановувалась як богиня-діва, мисливиця, покровителька жінок і дітей. А також під впливом млоазійських культів, вважалась ще й богинею родючості. Це до речі, єдине місце в Античному світі, яке вшановувало Артеміду саме як богиню родючості. У Давньому Римі, зокрема на території сучасної Італії він належав Флорі, богині рослинного світу, яка не просто турбувалась про рослинний світ. Але  була  уособленням весняного пробудження природи від зимового сну, зображалась зазвичай юною дівою в оточені маленьких істот схожиих на дітей, чи в пізнішій християнській традиції  - ангелів. На честь  богині влаштовували спеціальні свята весни «флоральні ігри». Перші христяни, входячи в культурний простір Середземномор'я, шукали способу освятити ці природні ритми — наповнити їх новим, євангельським змістом. Саме тому, Раня Церква почала протиставити Богородицю античним божествам. Поступово витісняючи  їх із масової культури. І натомість утверджуючи Марійське почитання.  </w:t>
      </w:r>
    </w:p>
    <w:p>
      <w:pPr>
        <w:pStyle w:val="Normal"/>
        <w:spacing w:lineRule="exact" w:line="276" w:before="0" w:after="160"/>
        <w:jc w:val="both"/>
        <w:rPr/>
      </w:pPr>
      <w:r>
        <w:rPr>
          <w:rFonts w:eastAsia="Times New Roman" w:cs="Times New Roman"/>
        </w:rPr>
        <w:tab/>
        <w:t>Проте присвячення цілого місяця  Марії сформувалась значно пізніше. У XIII ст. іспанський король Альфонс X закликав підданих молитись до Богородиці протягом травня. З XIV ст. поширився звичай прикрашати Її статуї весняними квітами. Найбільшого розквіту травневі богородичні відправи зазнали у XVII–XVIII ст. в Італії, де їх щодня звершували спочатку ченці-домініканці, а згодом єзуїти. Від єзуїтських колегій традиція стрімко перейшла до парафій по всій Католицькій Церкві.</w:t>
      </w:r>
    </w:p>
    <w:p>
      <w:pPr>
        <w:pStyle w:val="2"/>
        <w:bidi w:val="0"/>
        <w:jc w:val="both"/>
        <w:rPr/>
      </w:pPr>
      <w:r>
        <w:rPr/>
        <w:t>Папи і травневе вшанування Марії: хто, коли і чому</w:t>
      </w:r>
    </w:p>
    <w:p>
      <w:pPr>
        <w:pStyle w:val="Normal"/>
        <w:spacing w:lineRule="exact" w:line="276" w:before="0" w:after="160"/>
        <w:jc w:val="both"/>
        <w:rPr/>
      </w:pPr>
      <w:r>
        <w:rPr>
          <w:rFonts w:eastAsia="Times New Roman" w:cs="Times New Roman"/>
        </w:rPr>
        <w:tab/>
        <w:t>Окрему сторінку в цій традиції написали римські єпископи. Їхня роль — не просто благословення народного благочестя, а свідома богословська і церковно-дисциплінарна підтримка, яка перетворила єзуїтський звичай на загальноцерковну практику.</w:t>
      </w:r>
    </w:p>
    <w:p>
      <w:pPr>
        <w:pStyle w:val="Normal"/>
        <w:spacing w:lineRule="exact" w:line="276" w:before="0" w:after="160"/>
        <w:jc w:val="both"/>
        <w:rPr/>
      </w:pPr>
      <w:r>
        <w:rPr>
          <w:rFonts w:eastAsia="Times New Roman" w:cs="Times New Roman"/>
        </w:rPr>
        <w:tab/>
        <w:t>Першим офіційно відреагував папа Пій VII. У березні 1815 р., невдовзі після повернення з наполеонівського полону, він надав частковий відпуст усім, хто упродовж травня вшановуватиме Богородицю будь-якою молитвою — публічно чи приватно. Це був не лише богословський жест: Церква, знесилена революцією і полоном папи, шукала духовного відновлення. Місяць Марії став формою загальної молитви про порятунок.</w:t>
      </w:r>
    </w:p>
    <w:p>
      <w:pPr>
        <w:pStyle w:val="Normal"/>
        <w:spacing w:lineRule="exact" w:line="276" w:before="0" w:after="160"/>
        <w:jc w:val="both"/>
        <w:rPr/>
      </w:pPr>
      <w:r>
        <w:rPr>
          <w:rFonts w:eastAsia="Times New Roman" w:cs="Times New Roman"/>
        </w:rPr>
        <w:tab/>
        <w:t>Папа Пій IX 1859 р. підніс цей відпуст до повного. Умова — спoвідь, причастя та молитва у намірі святішого  отця. Саме за його понтифікату 1854 р. було проголошено догмат про Непорочне Зачаття Діви Марії — і травнева побожність набула ще виразнішого богородичного забарвлення. Це вже було не просто народне благочестя, а частина офіційного вчення Католицької Церкви.</w:t>
      </w:r>
    </w:p>
    <w:p>
      <w:pPr>
        <w:pStyle w:val="Normal"/>
        <w:spacing w:lineRule="exact" w:line="276" w:before="0" w:after="160"/>
        <w:jc w:val="both"/>
        <w:rPr/>
      </w:pPr>
      <w:r>
        <w:rPr>
          <w:rFonts w:eastAsia="Times New Roman" w:cs="Times New Roman"/>
        </w:rPr>
        <w:tab/>
        <w:t>Папа Лев XIII, відомий як «папа вервиці», упродовж 1883–1898 рр. видав дванадцять енциклік про розарій і закріпив жовтень місяцем вервиці. Паралельно він підтримував і травневі побожності, вбачаючи в обох практиках ліки від секуляризму, що наступав на Церкву.</w:t>
      </w:r>
    </w:p>
    <w:p>
      <w:pPr>
        <w:pStyle w:val="Normal"/>
        <w:spacing w:lineRule="exact" w:line="276" w:before="0" w:after="160"/>
        <w:jc w:val="both"/>
        <w:rPr/>
      </w:pPr>
      <w:r>
        <w:rPr>
          <w:rFonts w:eastAsia="Times New Roman" w:cs="Times New Roman"/>
        </w:rPr>
        <w:tab/>
        <w:t xml:space="preserve">Папа Пій XII у своїй енцикліці </w:t>
      </w:r>
      <w:r>
        <w:rPr>
          <w:rFonts w:eastAsia="Times New Roman" w:cs="Times New Roman"/>
          <w:b/>
          <w:bCs/>
          <w:i/>
          <w:iCs/>
        </w:rPr>
        <w:t xml:space="preserve">Mediator Dei (1947) </w:t>
      </w:r>
      <w:r>
        <w:rPr>
          <w:rFonts w:eastAsia="Times New Roman" w:cs="Times New Roman"/>
        </w:rPr>
        <w:t>охарактеризував травневі марійні богослужіння як «вправи благочестя, хоч і не суворо літургійні, однак такі, що були схвалені й прославлені Апостольським Престолом і єпископами» (§182). Він вважав їх природним продовженням офіційного культу Церкви.</w:t>
      </w:r>
    </w:p>
    <w:p>
      <w:pPr>
        <w:pStyle w:val="Normal"/>
        <w:spacing w:lineRule="exact" w:line="276" w:before="0" w:after="160"/>
        <w:jc w:val="both"/>
        <w:rPr/>
      </w:pPr>
      <w:r>
        <w:rPr>
          <w:rFonts w:eastAsia="Times New Roman" w:cs="Times New Roman"/>
        </w:rPr>
        <w:tab/>
        <w:t xml:space="preserve">Найяскравішим папським свідченням на підтримку травневого вшанування Марії є енцикліка </w:t>
      </w:r>
      <w:r>
        <w:rPr>
          <w:rFonts w:eastAsia="Times New Roman" w:cs="Times New Roman"/>
          <w:b/>
          <w:bCs/>
          <w:i/>
          <w:iCs/>
        </w:rPr>
        <w:t>Mense Maio</w:t>
      </w:r>
      <w:r>
        <w:rPr>
          <w:rFonts w:eastAsia="Times New Roman" w:cs="Times New Roman"/>
        </w:rPr>
        <w:t xml:space="preserve"> папи Павла VI, видана 29 квітня 1965 р., посеред буремних дискусій Другого Ватиканського собору та напруженості холодної війни. Павло VI писав: «Травень вже близько — місяць, який побожність вірних давно присвятила Марії, Матері Бога. Наше серце радіє при думці про той зворушливий вияв віри і любові, який незабаром буде принесений католиками Цариці Неба у кожному куточку землі. Бо саме в цьому місяці Марія отримує від вірних більш палку і люблячу шану — і саме в цьому місяці з Її престолу сходить на нас більш рясна благодать Божого милосердя». Водночас він закликав пов'язати марійні молитви травня з проханням про мир у світі — що надало цій традиції виразного екуменічного і соціального виміру.</w:t>
      </w:r>
    </w:p>
    <w:p>
      <w:pPr>
        <w:pStyle w:val="Normal"/>
        <w:spacing w:lineRule="exact" w:line="276" w:before="0" w:after="160"/>
        <w:jc w:val="both"/>
        <w:rPr/>
      </w:pPr>
      <w:r>
        <w:rPr>
          <w:rFonts w:eastAsia="Times New Roman" w:cs="Times New Roman"/>
        </w:rPr>
        <w:tab/>
        <w:t xml:space="preserve">Святий папа Іван Павло II у травні 2002 р. продовжив цю лінію: «Сьогодні ми розпочинаємо місяць, присвячений Нашій Володарці — улюблений у народній побожності. Відповідно до давньої традиції, парафії та родини продовжують почитати місяць травень  як «Марійний місяць», відзначаючи його багатьма літургійними, катехитичними та пастирськими ініціативами». </w:t>
      </w:r>
    </w:p>
    <w:p>
      <w:pPr>
        <w:pStyle w:val="2"/>
        <w:bidi w:val="0"/>
        <w:jc w:val="both"/>
        <w:rPr/>
      </w:pPr>
      <w:r>
        <w:rPr/>
        <w:t>Параклис: богородичний молебень зі Сходу</w:t>
      </w:r>
    </w:p>
    <w:p>
      <w:pPr>
        <w:pStyle w:val="Normal"/>
        <w:spacing w:lineRule="exact" w:line="276" w:before="0" w:after="160"/>
        <w:jc w:val="both"/>
        <w:rPr/>
      </w:pPr>
      <w:r>
        <w:rPr>
          <w:rFonts w:eastAsia="Times New Roman" w:cs="Times New Roman"/>
        </w:rPr>
        <w:tab/>
        <w:t>В той час як латинська традиція формувала травневу Марійську набожністі, Схід розвивав свій власний,  спосіб молитви до Богородиці — параклис (грецьк. παράκλησις — «</w:t>
      </w:r>
      <w:r>
        <w:rPr>
          <w:rFonts w:eastAsia="Times New Roman" w:cs="Times New Roman"/>
        </w:rPr>
        <w:t>посилена молитва</w:t>
      </w:r>
      <w:r>
        <w:rPr>
          <w:rFonts w:eastAsia="Times New Roman" w:cs="Times New Roman"/>
        </w:rPr>
        <w:t xml:space="preserve">», «заступництво»). Це молитва-прохання </w:t>
      </w:r>
      <w:r>
        <w:rPr>
          <w:rFonts w:eastAsia="Times New Roman" w:cs="Times New Roman"/>
        </w:rPr>
        <w:t>(молебень)</w:t>
      </w:r>
      <w:r>
        <w:rPr>
          <w:rFonts w:eastAsia="Times New Roman" w:cs="Times New Roman"/>
        </w:rPr>
        <w:t xml:space="preserve"> до Пресвятої Богородиці, в якому вірні благають Її заступ</w:t>
      </w:r>
      <w:r>
        <w:rPr>
          <w:rFonts w:eastAsia="Times New Roman" w:cs="Times New Roman"/>
        </w:rPr>
        <w:t>ництва</w:t>
      </w:r>
      <w:r>
        <w:rPr>
          <w:rFonts w:eastAsia="Times New Roman" w:cs="Times New Roman"/>
        </w:rPr>
        <w:t xml:space="preserve"> за них перед </w:t>
      </w:r>
      <w:r>
        <w:rPr>
          <w:rFonts w:eastAsia="Times New Roman" w:cs="Times New Roman"/>
        </w:rPr>
        <w:t>Богом</w:t>
      </w:r>
      <w:r>
        <w:rPr>
          <w:rFonts w:eastAsia="Times New Roman" w:cs="Times New Roman"/>
        </w:rPr>
        <w:t>. Структура параклиса — вирізняє його з-поміж звичайних молебнів.</w:t>
      </w:r>
    </w:p>
    <w:p>
      <w:pPr>
        <w:pStyle w:val="Normal"/>
        <w:spacing w:lineRule="exact" w:line="276" w:before="0" w:after="160"/>
        <w:jc w:val="both"/>
        <w:rPr/>
      </w:pPr>
      <w:r>
        <w:rPr>
          <w:rFonts w:eastAsia="Times New Roman" w:cs="Times New Roman"/>
        </w:rPr>
        <w:tab/>
        <w:t>Відомі дві форми параклиса. Малий параклис — давніша версія, приписувана ченцю Феостерикту (IX ст.), хоча деякі дослідники називають автором Феофана Сповідника Нікейського того ж століття. Великий параклис — складнішій твір, написаний у XIII ст. Феодором II Ласкарісом, нікейським імператором у вигнанні: він склав цю молитву під час Латинської окупації Константинополя (після 1204 р.) як заступницьке благання про повернення столиці. Обидва тексти — не просто богослужебна поезія, а богословські документи, де кожен тропар стисло виражає суть маріології Східної Церкви.</w:t>
      </w:r>
    </w:p>
    <w:p>
      <w:pPr>
        <w:pStyle w:val="Normal"/>
        <w:spacing w:lineRule="exact" w:line="276" w:before="0" w:after="160"/>
        <w:jc w:val="both"/>
        <w:rPr/>
      </w:pPr>
      <w:r>
        <w:rPr>
          <w:rFonts w:eastAsia="Times New Roman" w:cs="Times New Roman"/>
        </w:rPr>
        <w:tab/>
        <w:t xml:space="preserve">Параклис служиться у будні дні Успенського посту (1–14 серпня). Проте, коли є особлива потреба — хвороба, горе, небезпека — малий параклис може звершуватись у будь-який час. Саме ця гнучкість зробила його молитвою живого церковного досвіду. </w:t>
      </w:r>
    </w:p>
    <w:p>
      <w:pPr>
        <w:pStyle w:val="2"/>
        <w:bidi w:val="0"/>
        <w:jc w:val="both"/>
        <w:rPr/>
      </w:pPr>
      <w:r>
        <w:rPr/>
        <w:t>Василіяни і маївки: як східний молебень надягнув травневий вінок</w:t>
      </w:r>
    </w:p>
    <w:p>
      <w:pPr>
        <w:pStyle w:val="Normal"/>
        <w:spacing w:lineRule="exact" w:line="276" w:before="0" w:after="160"/>
        <w:jc w:val="both"/>
        <w:rPr/>
      </w:pPr>
      <w:r>
        <w:rPr>
          <w:rFonts w:eastAsia="Times New Roman" w:cs="Times New Roman"/>
        </w:rPr>
        <w:tab/>
        <w:tab/>
        <w:t xml:space="preserve">На українських землях злиття двох традицій — східного параклиса і західних травневих </w:t>
      </w:r>
      <w:r>
        <w:rPr>
          <w:rFonts w:eastAsia="Times New Roman" w:cs="Times New Roman"/>
        </w:rPr>
        <w:t>Марійських</w:t>
      </w:r>
      <w:r>
        <w:rPr>
          <w:rFonts w:eastAsia="Times New Roman" w:cs="Times New Roman"/>
        </w:rPr>
        <w:t xml:space="preserve"> </w:t>
      </w:r>
      <w:r>
        <w:rPr>
          <w:rFonts w:eastAsia="Times New Roman" w:cs="Times New Roman"/>
        </w:rPr>
        <w:t>набожностей</w:t>
      </w:r>
      <w:r>
        <w:rPr>
          <w:rFonts w:eastAsia="Times New Roman" w:cs="Times New Roman"/>
        </w:rPr>
        <w:t xml:space="preserve"> — відбулось у цілком конкретний момент і в цілком конкретному місці. Щоб зрозуміти, як і чому, варто коротко окреслити роль Василіянського Чину Святого Йосафата (ЧСВВ) у цьому процесі.</w:t>
      </w:r>
    </w:p>
    <w:p>
      <w:pPr>
        <w:pStyle w:val="Normal"/>
        <w:spacing w:lineRule="exact" w:line="276" w:before="0" w:after="160"/>
        <w:jc w:val="both"/>
        <w:rPr/>
      </w:pPr>
      <w:r>
        <w:rPr>
          <w:rFonts w:eastAsia="Times New Roman" w:cs="Times New Roman"/>
        </w:rPr>
        <w:tab/>
        <w:t>Після Берестейської унії 1596 р. — церковного акту, яким частина ієрархів Київської митрополії визнала зверхність Рима, зберігаючи при цьому візантійський обряд, — постала потреба у духовно зрілому чернецтві, здатному бути мостом між Сходом і Заходом. Відповіддю стала реформа 1617 р., здійснена митрополитом Йосифом Велямином Рутським: монастирі, що дотримувались правил св. Василія Великого, були об'єднані в єдиний Чин. З 1617 і практично до початку ХХ століття ЧСВВ лишався єдиним українським чернечим орденом Греко Католицької Церкви. Протягом майже трьох століть — саме василіяни були головним носієм і хранителем духовної культури УГКЦ.</w:t>
      </w:r>
    </w:p>
    <w:p>
      <w:pPr>
        <w:pStyle w:val="Normal"/>
        <w:spacing w:lineRule="exact" w:line="276" w:before="0" w:after="160"/>
        <w:jc w:val="both"/>
        <w:rPr/>
      </w:pPr>
      <w:r>
        <w:rPr>
          <w:rFonts w:eastAsia="Times New Roman" w:cs="Times New Roman"/>
        </w:rPr>
        <w:tab/>
        <w:t>Вирішальним кроком у поширенні травневої Марійської набожності в УГКЦ стала так звана Добромильська реформа 1882 р. — здійснена за ініціативою та під проводом єзуїтів. Після неї Василіянський Чин у Галичині значно зміцнів організаційно і духовно, перейнявши кращі методи з практики західного чернецтва, зокрема єзуїтські пасторальні підходи: народні місії, реколекції, видавничу діяльність, заснування церковних товариств. Саме в цей оновлений Чин увійшла традиція нових католицьких набоженств: у 1887 р. у Львівському монастирі василіяни запровадили набоженство до Пресвятого Серця Христового. А у травні 1889 р. — знову у Львові, знову з ініціативи василіян — розпочались перші щоденні відправи богородичного молебню протягом цілого місяця. Саме ці відправи в народі назвали «маївками».</w:t>
      </w:r>
    </w:p>
    <w:p>
      <w:pPr>
        <w:pStyle w:val="Normal"/>
        <w:spacing w:lineRule="exact" w:line="276" w:before="0" w:after="160"/>
        <w:jc w:val="both"/>
        <w:rPr/>
      </w:pPr>
      <w:r>
        <w:rPr>
          <w:rFonts w:eastAsia="Times New Roman" w:cs="Times New Roman"/>
        </w:rPr>
        <w:tab/>
        <w:t>Чому саме травень? Відповідь лежить на перетині двох логік. По-перше, Василіяни, глибоко знайомі з латинською традицією завдяки Добромильській реформі і тісним зв'язкам з єзуїтами, добре знали, що травень — встановлений папами місяць Марії, якому папа Пій IX надав п</w:t>
      </w:r>
      <w:r>
        <w:rPr>
          <w:rFonts w:eastAsia="Times New Roman" w:cs="Times New Roman"/>
        </w:rPr>
        <w:t>овний</w:t>
      </w:r>
      <w:r>
        <w:rPr>
          <w:rFonts w:eastAsia="Times New Roman" w:cs="Times New Roman"/>
        </w:rPr>
        <w:t xml:space="preserve"> відпуст, а Пій XII пізніше назве «вправами благочестя, схваленими Апостольським Престолом». По-друге, в серці Василіянського Чину завжди жила Східна традиція параклиса — богородичного молебню. Отці Василіяни поєднали ці дві речі: обряд молебню зі Сходу і Західну присвяту травня Марії. Так з'явилась маївка — не  </w:t>
      </w:r>
      <w:r>
        <w:rPr>
          <w:rFonts w:eastAsia="Times New Roman" w:cs="Times New Roman"/>
        </w:rPr>
        <w:t xml:space="preserve">латинська </w:t>
      </w:r>
      <w:r>
        <w:rPr>
          <w:rFonts w:eastAsia="Times New Roman" w:cs="Times New Roman"/>
        </w:rPr>
        <w:t>копія, а власна форма: вечірній молебень із Богородичним каноном, піснями і молитвами, адаптований до духу і мови вірних УГКЦ в Галичині.</w:t>
      </w:r>
    </w:p>
    <w:p>
      <w:pPr>
        <w:pStyle w:val="Normal"/>
        <w:spacing w:lineRule="exact" w:line="276" w:before="0" w:after="160"/>
        <w:jc w:val="both"/>
        <w:rPr/>
      </w:pPr>
      <w:r>
        <w:rPr>
          <w:rFonts w:eastAsia="Times New Roman" w:cs="Times New Roman"/>
        </w:rPr>
        <w:tab/>
        <w:t>Ця практика поширилась далеко за межі Львова. А коли УГКЦ пішла в підпілля під час радянської окупації — саме василіяни зберегли традицію маївки. Греко-Католицька Церква зуміла не лише зберегти, а й примножити ці духовні практики — і після 1989 р. передала їх наступним поколінням.</w:t>
      </w:r>
    </w:p>
    <w:p>
      <w:pPr>
        <w:pStyle w:val="2"/>
        <w:bidi w:val="0"/>
        <w:jc w:val="both"/>
        <w:rPr/>
      </w:pPr>
      <w:r>
        <w:rPr/>
        <w:t>Богородиця: найкращий образ обоженої людини</w:t>
      </w:r>
    </w:p>
    <w:p>
      <w:pPr>
        <w:pStyle w:val="Normal"/>
        <w:spacing w:lineRule="exact" w:line="276" w:before="0" w:after="160"/>
        <w:jc w:val="both"/>
        <w:rPr/>
      </w:pPr>
      <w:r>
        <w:rPr>
          <w:rFonts w:eastAsia="Times New Roman" w:cs="Times New Roman"/>
        </w:rPr>
        <w:tab/>
        <w:t xml:space="preserve">Підсумовуючи, варто чітко сказати: Богородиця — не Бог. Культ Марії не може і не повинен замінювати поклоніння Богові. Церква завжди це підкреслювала —  від чіткого богословського розрізнення </w:t>
      </w:r>
      <w:r>
        <w:rPr>
          <w:rFonts w:eastAsia="Times New Roman" w:cs="Times New Roman"/>
          <w:b/>
          <w:bCs/>
          <w:i/>
          <w:iCs/>
        </w:rPr>
        <w:t>latria</w:t>
      </w:r>
      <w:r>
        <w:rPr>
          <w:rFonts w:eastAsia="Times New Roman" w:cs="Times New Roman"/>
        </w:rPr>
        <w:t xml:space="preserve"> і </w:t>
      </w:r>
      <w:r>
        <w:rPr>
          <w:rFonts w:eastAsia="Times New Roman" w:cs="Times New Roman"/>
          <w:b/>
          <w:bCs/>
          <w:i/>
          <w:iCs/>
        </w:rPr>
        <w:t>hyperdulia</w:t>
      </w:r>
      <w:r>
        <w:rPr>
          <w:rFonts w:eastAsia="Times New Roman" w:cs="Times New Roman"/>
        </w:rPr>
        <w:t xml:space="preserve"> до папи Павла VI, який нагадував, що «зустріч з Марією — це зустріч з Христом».</w:t>
      </w:r>
    </w:p>
    <w:p>
      <w:pPr>
        <w:pStyle w:val="Normal"/>
        <w:spacing w:lineRule="exact" w:line="276" w:before="0" w:after="160"/>
        <w:jc w:val="both"/>
        <w:rPr/>
      </w:pPr>
      <w:r>
        <w:rPr>
          <w:rFonts w:eastAsia="Times New Roman" w:cs="Times New Roman"/>
        </w:rPr>
        <w:tab/>
        <w:t>Але Марія — найдосконаліший образ того, ким може стати людина, яка повністю відкрилась Богові. «Коли ми кажемо Марія, Вона каже Ісус», — нагадує святий Луї де Монфор. Саме тому молитва до Богородиці — це не відхід від Христа, а шлях до Нього: через Ту, яка народила Його у світ і першою відповіла Йому всім серцем і своїм «так».</w:t>
      </w:r>
    </w:p>
    <w:p>
      <w:pPr>
        <w:pStyle w:val="Normal"/>
        <w:spacing w:before="0" w:after="320"/>
        <w:jc w:val="both"/>
        <w:rPr/>
      </w:pPr>
      <w:r>
        <w:rPr>
          <w:rFonts w:eastAsia="Times New Roman" w:cs="Times New Roman"/>
        </w:rPr>
        <w:t>Травень добігає кінця. Маївки тривають. А грецький папірус III ст. продовжує нагадувати нам: люди шукали Її заступництва і схоже, шукатимуть ще довго після нас.</w:t>
      </w:r>
    </w:p>
    <w:sectPr>
      <w:type w:val="nextPage"/>
      <w:pgSz w:w="11906" w:h="16838"/>
      <w:pgMar w:left="170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Times New Roman">
    <w:charset w:val="cc"/>
    <w:family w:val="swiss"/>
    <w:pitch w:val="variable"/>
  </w:font>
  <w:font w:name="Liberation Sans">
    <w:altName w:val="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4"/>
        <w:szCs w:val="24"/>
        <w:lang w:val="uk-UA"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uk-UA" w:eastAsia="zh-CN" w:bidi="hi-IN"/>
    </w:rPr>
  </w:style>
  <w:style w:type="paragraph" w:styleId="1">
    <w:name w:val="Heading 1"/>
    <w:basedOn w:val="Style11"/>
    <w:qFormat/>
    <w:pPr>
      <w:spacing w:before="0" w:after="280"/>
      <w:jc w:val="center"/>
      <w:outlineLvl w:val="0"/>
    </w:pPr>
    <w:rPr>
      <w:rFonts w:ascii="Times New Roman" w:hAnsi="Times New Roman" w:eastAsia="Times New Roman" w:cs="Times New Roman"/>
      <w:b/>
      <w:bCs/>
      <w:color w:val="000000"/>
      <w:sz w:val="32"/>
      <w:szCs w:val="32"/>
    </w:rPr>
  </w:style>
  <w:style w:type="paragraph" w:styleId="2">
    <w:name w:val="Heading 2"/>
    <w:basedOn w:val="Style11"/>
    <w:qFormat/>
    <w:pPr>
      <w:spacing w:before="300" w:after="140"/>
      <w:outlineLvl w:val="1"/>
    </w:pPr>
    <w:rPr>
      <w:rFonts w:ascii="Times New Roman" w:hAnsi="Times New Roman" w:eastAsia="Times New Roman" w:cs="Times New Roman"/>
      <w:b/>
      <w:bCs/>
      <w:color w:val="000000"/>
      <w:sz w:val="26"/>
      <w:szCs w:val="26"/>
    </w:rPr>
  </w:style>
  <w:style w:type="paragraph" w:styleId="3">
    <w:name w:val="Heading 3"/>
    <w:basedOn w:val="Style11"/>
    <w:qFormat/>
    <w:pPr/>
    <w:rPr>
      <w:color w:val="1F4D78"/>
      <w:sz w:val="24"/>
      <w:szCs w:val="24"/>
    </w:rPr>
  </w:style>
  <w:style w:type="paragraph" w:styleId="4">
    <w:name w:val="Heading 4"/>
    <w:basedOn w:val="Style11"/>
    <w:qFormat/>
    <w:pPr/>
    <w:rPr>
      <w:i/>
      <w:iCs/>
      <w:color w:val="2E74B5"/>
    </w:rPr>
  </w:style>
  <w:style w:type="paragraph" w:styleId="5">
    <w:name w:val="Heading 5"/>
    <w:basedOn w:val="Style11"/>
    <w:qFormat/>
    <w:pPr/>
    <w:rPr>
      <w:color w:val="2E74B5"/>
    </w:rPr>
  </w:style>
  <w:style w:type="paragraph" w:styleId="6">
    <w:name w:val="Heading 6"/>
    <w:basedOn w:val="Style11"/>
    <w:qFormat/>
    <w:pPr/>
    <w:rPr>
      <w:color w:val="1F4D78"/>
    </w:rPr>
  </w:style>
  <w:style w:type="character" w:styleId="Style8">
    <w:name w:val="Hyperlink"/>
    <w:uiPriority w:val="99"/>
    <w:unhideWhenUsed/>
    <w:rPr>
      <w:color w:val="0563C1"/>
      <w:u w:val="single"/>
    </w:rPr>
  </w:style>
  <w:style w:type="character" w:styleId="Style9">
    <w:name w:val="Footnote Reference"/>
    <w:rPr>
      <w:vertAlign w:val="superscript"/>
    </w:rPr>
  </w:style>
  <w:style w:type="character" w:styleId="FootnoteCharacters">
    <w:name w:val="Footnote Characters"/>
    <w:uiPriority w:val="99"/>
    <w:semiHidden/>
    <w:unhideWhenUsed/>
    <w:qFormat/>
    <w:rPr>
      <w:vertAlign w:val="superscript"/>
    </w:rPr>
  </w:style>
  <w:style w:type="character" w:styleId="FootnoteTextChar">
    <w:name w:val="Footnote Text Char"/>
    <w:uiPriority w:val="99"/>
    <w:semiHidden/>
    <w:unhideWhenUsed/>
    <w:qFormat/>
    <w:rPr>
      <w:sz w:val="20"/>
      <w:szCs w:val="20"/>
    </w:rPr>
  </w:style>
  <w:style w:type="character" w:styleId="Style10">
    <w:name w:val="Endnote Reference"/>
    <w:rPr>
      <w:vertAlign w:val="superscript"/>
    </w:rPr>
  </w:style>
  <w:style w:type="character" w:styleId="EndnoteCharacters">
    <w:name w:val="Endnote Characters"/>
    <w:uiPriority w:val="99"/>
    <w:semiHidden/>
    <w:unhideWhenUsed/>
    <w:qFormat/>
    <w:rPr>
      <w:vertAlign w:val="superscript"/>
    </w:rPr>
  </w:style>
  <w:style w:type="character" w:styleId="EndnoteTextChar">
    <w:name w:val="Endnote Text Char"/>
    <w:uiPriority w:val="99"/>
    <w:semiHidden/>
    <w:unhideWhenUsed/>
    <w:qFormat/>
    <w:rPr>
      <w:sz w:val="20"/>
      <w:szCs w:val="20"/>
    </w:rPr>
  </w:style>
  <w:style w:type="paragraph" w:styleId="Style11">
    <w:name w:val="Заголовок"/>
    <w:basedOn w:val="Normal"/>
    <w:next w:val="Style12"/>
    <w:qFormat/>
    <w:pPr>
      <w:keepNext w:val="true"/>
      <w:spacing w:before="240" w:after="120"/>
    </w:pPr>
    <w:rPr>
      <w:rFonts w:ascii="Liberation Sans" w:hAnsi="Liberation Sans" w:eastAsia="Microsoft YaHei" w:cs="Arial"/>
      <w:sz w:val="28"/>
      <w:szCs w:val="28"/>
    </w:rPr>
  </w:style>
  <w:style w:type="paragraph" w:styleId="Style12">
    <w:name w:val="Body Text"/>
    <w:basedOn w:val="Normal"/>
    <w:pPr>
      <w:spacing w:lineRule="auto" w:line="276" w:before="0" w:after="140"/>
    </w:pPr>
    <w:rPr/>
  </w:style>
  <w:style w:type="paragraph" w:styleId="List">
    <w:name w:val="List"/>
    <w:basedOn w:val="Style12"/>
    <w:pPr/>
    <w:rPr>
      <w:rFonts w:cs="Arial"/>
    </w:rPr>
  </w:style>
  <w:style w:type="paragraph" w:styleId="Style13">
    <w:name w:val="Caption"/>
    <w:basedOn w:val="Normal"/>
    <w:qFormat/>
    <w:pPr>
      <w:suppressLineNumbers/>
      <w:spacing w:before="120" w:after="120"/>
    </w:pPr>
    <w:rPr>
      <w:rFonts w:cs="Arial"/>
      <w:i/>
      <w:iCs/>
      <w:sz w:val="24"/>
      <w:szCs w:val="24"/>
    </w:rPr>
  </w:style>
  <w:style w:type="paragraph" w:styleId="Style14">
    <w:name w:val="Покажчик"/>
    <w:basedOn w:val="Normal"/>
    <w:qFormat/>
    <w:pPr>
      <w:suppressLineNumbers/>
    </w:pPr>
    <w:rPr>
      <w:rFonts w:cs="Arial"/>
      <w:lang w:val="zxx" w:eastAsia="zxx" w:bidi="zxx"/>
    </w:rPr>
  </w:style>
  <w:style w:type="paragraph" w:styleId="Style15">
    <w:name w:val="Title"/>
    <w:basedOn w:val="Style11"/>
    <w:qFormat/>
    <w:pPr/>
    <w:rPr>
      <w:sz w:val="56"/>
      <w:szCs w:val="56"/>
    </w:rPr>
  </w:style>
  <w:style w:type="paragraph" w:styleId="Strong">
    <w:name w:val="Strong"/>
    <w:qFormat/>
    <w:pPr>
      <w:widowControl/>
      <w:suppressAutoHyphens w:val="true"/>
      <w:bidi w:val="0"/>
      <w:spacing w:before="0" w:after="0"/>
      <w:jc w:val="left"/>
    </w:pPr>
    <w:rPr>
      <w:rFonts w:ascii="Times New Roman" w:hAnsi="Times New Roman" w:eastAsia="Times New Roman" w:cs="Times New Roman"/>
      <w:b/>
      <w:bCs/>
      <w:color w:val="auto"/>
      <w:kern w:val="0"/>
      <w:sz w:val="24"/>
      <w:szCs w:val="24"/>
      <w:lang w:val="uk-UA" w:eastAsia="zh-CN" w:bidi="hi-IN"/>
    </w:rPr>
  </w:style>
  <w:style w:type="paragraph" w:styleId="ListParagraph">
    <w:name w:val="List Paragraph"/>
    <w:qFormat/>
    <w:pPr>
      <w:widowControl/>
      <w:suppressAutoHyphens w:val="true"/>
      <w:bidi w:val="0"/>
      <w:spacing w:before="0" w:after="0"/>
      <w:jc w:val="left"/>
    </w:pPr>
    <w:rPr>
      <w:rFonts w:ascii="Times New Roman" w:hAnsi="Times New Roman" w:eastAsia="Times New Roman" w:cs="Times New Roman"/>
      <w:color w:val="auto"/>
      <w:kern w:val="0"/>
      <w:sz w:val="24"/>
      <w:szCs w:val="24"/>
      <w:lang w:val="uk-UA" w:eastAsia="zh-CN" w:bidi="hi-IN"/>
    </w:rPr>
  </w:style>
  <w:style w:type="paragraph" w:styleId="Style16">
    <w:name w:val="Footnote Text"/>
    <w:basedOn w:val="Normal"/>
    <w:link w:val="FootnoteTextChar"/>
    <w:uiPriority w:val="99"/>
    <w:semiHidden/>
    <w:unhideWhenUsed/>
    <w:pPr>
      <w:spacing w:lineRule="auto" w:line="240" w:before="0" w:after="0"/>
    </w:pPr>
    <w:rPr>
      <w:sz w:val="20"/>
      <w:szCs w:val="20"/>
    </w:rPr>
  </w:style>
  <w:style w:type="paragraph" w:styleId="Style17">
    <w:name w:val="Endnote Text"/>
    <w:basedOn w:val="Normal"/>
    <w:link w:val="EndnoteTextChar"/>
    <w:uiPriority w:val="99"/>
    <w:semiHidden/>
    <w:unhideWhenUsed/>
    <w:pPr>
      <w:spacing w:lineRule="auto" w:line="240" w:before="0" w:after="0"/>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21</TotalTime>
  <Application>Edit_Docx_PLUS/7.4.0.3$Windows_X86_64 LibreOffice_project/</Application>
  <AppVersion>15.0000</AppVersion>
  <Pages>5</Pages>
  <Words>2035</Words>
  <Characters>12564</Characters>
  <CharactersWithSpaces>14671</CharactersWithSpaces>
  <Paragraphs>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dc:description/>
  <dc:language>uk-UA</dc:language>
  <cp:lastModifiedBy/>
  <dcterms:modified xsi:type="dcterms:W3CDTF">2026-05-18T14:33:44Z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